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AA2A8F" w:rsidRDefault="00FE5799" w:rsidP="00FE5799">
      <w:pPr>
        <w:pStyle w:val="Header"/>
        <w:tabs>
          <w:tab w:val="clear" w:pos="4536"/>
        </w:tabs>
        <w:rPr>
          <w:i/>
          <w:lang w:val="sv-SE"/>
        </w:rPr>
      </w:pPr>
      <w:bookmarkStart w:id="0" w:name="_GoBack"/>
      <w:bookmarkEnd w:id="0"/>
      <w:r w:rsidRPr="00AA2A8F">
        <w:rPr>
          <w:lang w:val="sv-SE"/>
        </w:rPr>
        <w:t>TSG-RAN WG1 #</w:t>
      </w:r>
      <w:r w:rsidR="00DF7DD5" w:rsidRPr="00AA2A8F">
        <w:rPr>
          <w:lang w:val="sv-SE"/>
        </w:rPr>
        <w:t>86</w:t>
      </w:r>
      <w:r w:rsidRPr="00AA2A8F">
        <w:rPr>
          <w:lang w:val="sv-SE"/>
        </w:rPr>
        <w:tab/>
        <w:t>R1-</w:t>
      </w:r>
      <w:r w:rsidR="00DF03D2" w:rsidRPr="00AA2A8F">
        <w:rPr>
          <w:lang w:val="sv-SE"/>
        </w:rPr>
        <w:t>16</w:t>
      </w:r>
      <w:r w:rsidR="00AA2A8F" w:rsidRPr="00AA2A8F">
        <w:rPr>
          <w:lang w:val="sv-SE"/>
        </w:rPr>
        <w:t>7</w:t>
      </w:r>
      <w:r w:rsidR="00AA2A8F">
        <w:rPr>
          <w:lang w:val="sv-SE"/>
        </w:rPr>
        <w:t>452</w:t>
      </w:r>
    </w:p>
    <w:p w:rsidR="00FE5799" w:rsidRPr="00AA2A8F" w:rsidRDefault="00DF7DD5" w:rsidP="00FE5799">
      <w:pPr>
        <w:pStyle w:val="Header"/>
        <w:rPr>
          <w:color w:val="000000"/>
          <w:lang w:val="sv-SE"/>
        </w:rPr>
      </w:pPr>
      <w:r w:rsidRPr="00AA2A8F">
        <w:rPr>
          <w:lang w:val="sv-SE"/>
        </w:rPr>
        <w:t>Göteborg</w:t>
      </w:r>
      <w:r w:rsidR="00FE5799" w:rsidRPr="00AA2A8F">
        <w:rPr>
          <w:lang w:val="sv-SE"/>
        </w:rPr>
        <w:t xml:space="preserve">, </w:t>
      </w:r>
      <w:r w:rsidRPr="00AA2A8F">
        <w:rPr>
          <w:lang w:val="sv-SE"/>
        </w:rPr>
        <w:t>Sweden</w:t>
      </w:r>
      <w:r w:rsidR="00FE5799" w:rsidRPr="00AA2A8F">
        <w:rPr>
          <w:lang w:val="sv-SE"/>
        </w:rPr>
        <w:t xml:space="preserve">, </w:t>
      </w:r>
      <w:r w:rsidRPr="00AA2A8F">
        <w:rPr>
          <w:lang w:val="sv-SE"/>
        </w:rPr>
        <w:t>Aug</w:t>
      </w:r>
      <w:r w:rsidR="00FE5799" w:rsidRPr="00AA2A8F">
        <w:rPr>
          <w:lang w:val="sv-SE"/>
        </w:rPr>
        <w:t xml:space="preserve"> </w:t>
      </w:r>
      <w:r w:rsidR="00DF03D2" w:rsidRPr="00AA2A8F">
        <w:rPr>
          <w:lang w:val="sv-SE"/>
        </w:rPr>
        <w:t>2</w:t>
      </w:r>
      <w:r w:rsidRPr="00AA2A8F">
        <w:rPr>
          <w:lang w:val="sv-SE"/>
        </w:rPr>
        <w:t>2</w:t>
      </w:r>
      <w:r w:rsidR="00FE5799" w:rsidRPr="00AA2A8F">
        <w:rPr>
          <w:lang w:val="sv-SE"/>
        </w:rPr>
        <w:t xml:space="preserve"> – </w:t>
      </w:r>
      <w:r w:rsidR="00DF03D2" w:rsidRPr="00AA2A8F">
        <w:rPr>
          <w:lang w:val="sv-SE"/>
        </w:rPr>
        <w:t>2</w:t>
      </w:r>
      <w:r w:rsidRPr="00AA2A8F">
        <w:rPr>
          <w:lang w:val="sv-SE"/>
        </w:rPr>
        <w:t>6</w:t>
      </w:r>
      <w:r w:rsidR="00FE5799" w:rsidRPr="00AA2A8F">
        <w:rPr>
          <w:lang w:val="sv-SE"/>
        </w:rPr>
        <w:t>, 2016</w:t>
      </w:r>
    </w:p>
    <w:p w:rsidR="00FE5799" w:rsidRPr="00AA2A8F" w:rsidRDefault="00FE5799" w:rsidP="00FE5799">
      <w:pPr>
        <w:pStyle w:val="Header"/>
        <w:rPr>
          <w:lang w:val="sv-SE"/>
        </w:rPr>
      </w:pPr>
    </w:p>
    <w:p w:rsidR="00FE5799" w:rsidRPr="00CA3FA5" w:rsidRDefault="00FE5799" w:rsidP="00FE5799">
      <w:pPr>
        <w:pStyle w:val="Header"/>
        <w:tabs>
          <w:tab w:val="clear" w:pos="4536"/>
          <w:tab w:val="left" w:pos="1800"/>
        </w:tabs>
        <w:ind w:left="1800" w:hanging="1800"/>
        <w:rPr>
          <w:lang w:val="en-AU"/>
        </w:rPr>
      </w:pPr>
      <w:r w:rsidRPr="00CA3FA5">
        <w:rPr>
          <w:lang w:val="en-AU"/>
        </w:rPr>
        <w:t>Source:</w:t>
      </w:r>
      <w:r w:rsidRPr="00CA3FA5">
        <w:rPr>
          <w:lang w:val="en-AU"/>
        </w:rPr>
        <w:tab/>
        <w:t>Ericsson</w:t>
      </w:r>
      <w:r w:rsidR="00DF7DD5" w:rsidRPr="00CA3FA5">
        <w:rPr>
          <w:lang w:val="en-AU"/>
        </w:rPr>
        <w:t>, Telstra</w:t>
      </w:r>
    </w:p>
    <w:p w:rsidR="00FE5799" w:rsidRPr="00CA3FA5" w:rsidRDefault="00FE5799" w:rsidP="00FE5799">
      <w:pPr>
        <w:pStyle w:val="Header"/>
        <w:tabs>
          <w:tab w:val="clear" w:pos="4536"/>
          <w:tab w:val="left" w:pos="1800"/>
        </w:tabs>
        <w:rPr>
          <w:lang w:val="en-AU"/>
        </w:rPr>
      </w:pPr>
      <w:r w:rsidRPr="00CA3FA5">
        <w:rPr>
          <w:lang w:val="en-AU"/>
        </w:rPr>
        <w:t>Title:</w:t>
      </w:r>
      <w:bookmarkStart w:id="1" w:name="Title"/>
      <w:bookmarkEnd w:id="1"/>
      <w:r w:rsidRPr="00CA3FA5">
        <w:rPr>
          <w:lang w:val="en-AU"/>
        </w:rPr>
        <w:tab/>
      </w:r>
      <w:r w:rsidR="00635C7B">
        <w:rPr>
          <w:lang w:val="en-AU"/>
        </w:rPr>
        <w:t xml:space="preserve">Path loss </w:t>
      </w:r>
      <w:r w:rsidR="00DF7DD5" w:rsidRPr="00CA3FA5">
        <w:rPr>
          <w:lang w:val="en-AU"/>
        </w:rPr>
        <w:t>model for extreme rural</w:t>
      </w:r>
      <w:r w:rsidR="00635C7B">
        <w:rPr>
          <w:lang w:val="en-AU"/>
        </w:rPr>
        <w:t xml:space="preserve"> scenario</w:t>
      </w:r>
    </w:p>
    <w:p w:rsidR="00FE5799" w:rsidRPr="00CA3FA5" w:rsidRDefault="00FE5799" w:rsidP="00FE5799">
      <w:pPr>
        <w:pStyle w:val="Header"/>
        <w:tabs>
          <w:tab w:val="left" w:pos="1800"/>
        </w:tabs>
        <w:rPr>
          <w:lang w:val="en-AU"/>
        </w:rPr>
      </w:pPr>
      <w:r w:rsidRPr="00CA3FA5">
        <w:rPr>
          <w:lang w:val="en-AU"/>
        </w:rPr>
        <w:t>Agenda Item:</w:t>
      </w:r>
      <w:bookmarkStart w:id="2" w:name="Source"/>
      <w:bookmarkEnd w:id="2"/>
      <w:r w:rsidRPr="00CA3FA5">
        <w:rPr>
          <w:lang w:val="en-AU"/>
        </w:rPr>
        <w:tab/>
      </w:r>
      <w:r w:rsidR="00835DE6">
        <w:rPr>
          <w:lang w:val="en-AU"/>
        </w:rPr>
        <w:t>8.1.7</w:t>
      </w:r>
    </w:p>
    <w:p w:rsidR="00FE5799" w:rsidRPr="00CA3FA5" w:rsidRDefault="00FE5799" w:rsidP="00FE5799">
      <w:pPr>
        <w:pStyle w:val="Header"/>
        <w:tabs>
          <w:tab w:val="left" w:pos="1800"/>
        </w:tabs>
        <w:rPr>
          <w:lang w:val="en-AU"/>
        </w:rPr>
      </w:pPr>
      <w:r w:rsidRPr="00CA3FA5">
        <w:rPr>
          <w:lang w:val="en-AU"/>
        </w:rPr>
        <w:t>Document for:</w:t>
      </w:r>
      <w:r w:rsidRPr="00CA3FA5">
        <w:rPr>
          <w:lang w:val="en-AU"/>
        </w:rPr>
        <w:tab/>
      </w:r>
      <w:bookmarkStart w:id="3" w:name="DocumentFor"/>
      <w:bookmarkEnd w:id="3"/>
      <w:r w:rsidRPr="00CA3FA5">
        <w:rPr>
          <w:lang w:val="en-AU"/>
        </w:rPr>
        <w:t>Discussion and Decision</w:t>
      </w:r>
    </w:p>
    <w:p w:rsidR="00FE5799" w:rsidRPr="00CA3FA5" w:rsidRDefault="00FE5799" w:rsidP="00FE5799">
      <w:pPr>
        <w:pBdr>
          <w:bottom w:val="single" w:sz="4" w:space="1" w:color="auto"/>
        </w:pBdr>
        <w:tabs>
          <w:tab w:val="left" w:pos="2552"/>
        </w:tabs>
        <w:rPr>
          <w:lang w:val="en-AU"/>
        </w:rPr>
      </w:pPr>
    </w:p>
    <w:p w:rsidR="004A3F44" w:rsidRPr="00CA3FA5" w:rsidRDefault="001639B5" w:rsidP="004A3F44">
      <w:pPr>
        <w:pStyle w:val="Heading1"/>
        <w:rPr>
          <w:lang w:val="en-AU"/>
        </w:rPr>
      </w:pPr>
      <w:r w:rsidRPr="00CA3FA5">
        <w:rPr>
          <w:lang w:val="en-AU"/>
        </w:rPr>
        <w:t>Introduction</w:t>
      </w:r>
    </w:p>
    <w:p w:rsidR="00546E5F" w:rsidRDefault="00546E5F" w:rsidP="00546E5F">
      <w:pPr>
        <w:pStyle w:val="BodyText"/>
        <w:rPr>
          <w:i/>
          <w:lang w:val="en-AU"/>
        </w:rPr>
      </w:pPr>
      <w:r w:rsidRPr="00546E5F">
        <w:rPr>
          <w:lang w:val="en-AU"/>
        </w:rPr>
        <w:t xml:space="preserve">TR 38.913 on </w:t>
      </w:r>
      <w:r w:rsidRPr="00546E5F">
        <w:t>"</w:t>
      </w:r>
      <w:r>
        <w:t xml:space="preserve">Scenarios and Requirements for Next Generation Access Technologies" defined several deployment scenarios and evaluations assumptions for the three families of usage scenarios, namely, </w:t>
      </w:r>
      <w:proofErr w:type="spellStart"/>
      <w:r>
        <w:t>eMBB</w:t>
      </w:r>
      <w:proofErr w:type="spellEnd"/>
      <w:r>
        <w:t xml:space="preserve">, </w:t>
      </w:r>
      <w:proofErr w:type="spellStart"/>
      <w:r>
        <w:t>mMTC</w:t>
      </w:r>
      <w:proofErr w:type="spellEnd"/>
      <w:r>
        <w:t xml:space="preserve"> and URLLC. This contribution refers to the deployment scenario 6.1.7 and listed attributes therein. Specifically it aims to provide a simple path loss model for evaluating coverage and throughput performance. </w:t>
      </w:r>
    </w:p>
    <w:p w:rsidR="004A3F44" w:rsidRPr="00CA3FA5" w:rsidRDefault="008372A0" w:rsidP="00A55C73">
      <w:pPr>
        <w:pStyle w:val="Heading1"/>
        <w:rPr>
          <w:lang w:val="en-AU"/>
        </w:rPr>
      </w:pPr>
      <w:r w:rsidRPr="00CA3FA5">
        <w:rPr>
          <w:lang w:val="en-AU"/>
        </w:rPr>
        <w:t xml:space="preserve">Path loss </w:t>
      </w:r>
      <w:r w:rsidR="00CA3FA5" w:rsidRPr="00CA3FA5">
        <w:rPr>
          <w:lang w:val="en-AU"/>
        </w:rPr>
        <w:t>modelling</w:t>
      </w:r>
      <w:r w:rsidR="004A3F44" w:rsidRPr="00CA3FA5">
        <w:rPr>
          <w:lang w:val="en-AU"/>
        </w:rPr>
        <w:t xml:space="preserve"> </w:t>
      </w:r>
      <w:r w:rsidRPr="00CA3FA5">
        <w:rPr>
          <w:lang w:val="en-AU"/>
        </w:rPr>
        <w:t>for extreme ranges</w:t>
      </w:r>
    </w:p>
    <w:p w:rsidR="00835DE6" w:rsidRDefault="008372A0" w:rsidP="00F307F4">
      <w:pPr>
        <w:pStyle w:val="BodyText"/>
        <w:rPr>
          <w:lang w:val="en-AU"/>
        </w:rPr>
      </w:pPr>
      <w:r w:rsidRPr="00CA3FA5">
        <w:rPr>
          <w:lang w:val="en-AU"/>
        </w:rPr>
        <w:t>To provide very long range coverage in low populated areas or over sea areas it is common to use sites with very high effective antenna heights</w:t>
      </w:r>
      <w:r w:rsidR="00635C7B">
        <w:rPr>
          <w:lang w:val="en-A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val="en-AU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h</m:t>
            </m:r>
          </m:e>
          <m:sub>
            <m:r>
              <w:rPr>
                <w:rFonts w:ascii="Cambria Math" w:hAnsi="Cambria Math"/>
                <w:lang w:val="en-AU"/>
              </w:rPr>
              <m:t>eff</m:t>
            </m:r>
          </m:sub>
        </m:sSub>
        <m:r>
          <w:rPr>
            <w:rFonts w:ascii="Cambria Math" w:hAnsi="Cambria Math"/>
            <w:lang w:val="en-AU"/>
          </w:rPr>
          <m:t>)</m:t>
        </m:r>
      </m:oMath>
      <w:r w:rsidRPr="00CA3FA5">
        <w:rPr>
          <w:lang w:val="en-AU"/>
        </w:rPr>
        <w:t xml:space="preserve">, e.g. by using high towers and/or deploying on natural hills or mountains. The effective antenna height over the ground or sea level can </w:t>
      </w:r>
      <w:r w:rsidR="00835DE6">
        <w:rPr>
          <w:lang w:val="en-AU"/>
        </w:rPr>
        <w:t xml:space="preserve">thus </w:t>
      </w:r>
      <w:r w:rsidRPr="00CA3FA5">
        <w:rPr>
          <w:lang w:val="en-AU"/>
        </w:rPr>
        <w:t>be many hundreds of m</w:t>
      </w:r>
      <w:r w:rsidR="00835DE6">
        <w:rPr>
          <w:lang w:val="en-AU"/>
        </w:rPr>
        <w:t>eters, without the use of very tall antenna towers</w:t>
      </w:r>
      <w:r w:rsidRPr="00CA3FA5">
        <w:rPr>
          <w:lang w:val="en-AU"/>
        </w:rPr>
        <w:t xml:space="preserve">. </w:t>
      </w:r>
    </w:p>
    <w:p w:rsidR="008372A0" w:rsidRPr="00CA3FA5" w:rsidRDefault="000E06BA" w:rsidP="00F307F4">
      <w:pPr>
        <w:pStyle w:val="BodyText"/>
        <w:rPr>
          <w:lang w:val="en-AU"/>
        </w:rPr>
      </w:pPr>
      <w:r w:rsidRPr="00CA3FA5">
        <w:rPr>
          <w:lang w:val="en-AU"/>
        </w:rPr>
        <w:t>Th</w:t>
      </w:r>
      <w:r w:rsidR="00835DE6">
        <w:rPr>
          <w:lang w:val="en-AU"/>
        </w:rPr>
        <w:t>is</w:t>
      </w:r>
      <w:r w:rsidRPr="00CA3FA5">
        <w:rPr>
          <w:lang w:val="en-AU"/>
        </w:rPr>
        <w:t xml:space="preserve"> high antenna height increases the distance to the visual and radio horizon</w:t>
      </w:r>
      <w:r w:rsidR="00835DE6">
        <w:rPr>
          <w:lang w:val="en-AU"/>
        </w:rPr>
        <w:t xml:space="preserve"> which extends the coverage</w:t>
      </w:r>
      <w:r w:rsidRPr="00CA3FA5">
        <w:rPr>
          <w:lang w:val="en-AU"/>
        </w:rPr>
        <w:t xml:space="preserve">. The geometrical distance to the horizon can be approximated </w:t>
      </w:r>
      <w:r w:rsidR="00FC5DB3" w:rsidRPr="00CA3FA5">
        <w:rPr>
          <w:lang w:val="en-AU"/>
        </w:rPr>
        <w:t>by</w:t>
      </w:r>
      <w:r w:rsidRPr="00CA3FA5">
        <w:rPr>
          <w:lang w:val="en-A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AU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d</m:t>
            </m:r>
          </m:e>
          <m:sub>
            <m:r>
              <w:rPr>
                <w:rFonts w:ascii="Cambria Math" w:hAnsi="Cambria Math"/>
                <w:lang w:val="en-AU"/>
              </w:rPr>
              <m:t>hor</m:t>
            </m:r>
          </m:sub>
        </m:sSub>
        <m:r>
          <w:rPr>
            <w:rFonts w:ascii="Cambria Math" w:hAnsi="Cambria Math"/>
            <w:lang w:val="en-AU"/>
          </w:rPr>
          <m:t>≈</m:t>
        </m:r>
        <m:rad>
          <m:radPr>
            <m:degHide m:val="1"/>
            <m:ctrlPr>
              <w:rPr>
                <w:rFonts w:ascii="Cambria Math" w:hAnsi="Cambria Math"/>
                <w:i/>
                <w:lang w:val="en-AU"/>
              </w:rPr>
            </m:ctrlPr>
          </m:radPr>
          <m:deg/>
          <m:e>
            <m:r>
              <w:rPr>
                <w:rFonts w:ascii="Cambria Math" w:hAnsi="Cambria Math"/>
                <w:lang w:val="en-AU"/>
              </w:rPr>
              <m:t>2⋅</m:t>
            </m:r>
            <m:sSub>
              <m:sSub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Pr>
              <m:e>
                <m:r>
                  <w:rPr>
                    <w:rFonts w:ascii="Cambria Math" w:hAnsi="Cambria Math"/>
                    <w:lang w:val="en-AU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AU"/>
                  </w:rPr>
                  <m:t>earth</m:t>
                </m:r>
              </m:sub>
            </m:sSub>
            <m:r>
              <w:rPr>
                <w:rFonts w:ascii="Cambria Math" w:hAnsi="Cambria Math"/>
                <w:lang w:val="en-AU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Pr>
              <m:e>
                <m:r>
                  <w:rPr>
                    <w:rFonts w:ascii="Cambria Math" w:hAnsi="Cambria Math"/>
                    <w:lang w:val="en-AU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AU"/>
                  </w:rPr>
                  <m:t>eff</m:t>
                </m:r>
              </m:sub>
            </m:sSub>
          </m:e>
        </m:rad>
      </m:oMath>
      <w:r w:rsidR="004861DC" w:rsidRPr="00CA3FA5">
        <w:rPr>
          <w:lang w:val="en-AU"/>
        </w:rPr>
        <w:t xml:space="preserve"> where </w:t>
      </w:r>
      <w:proofErr w:type="spellStart"/>
      <w:r w:rsidR="004861DC" w:rsidRPr="00546E5F">
        <w:rPr>
          <w:i/>
          <w:lang w:val="en-AU"/>
        </w:rPr>
        <w:t>R</w:t>
      </w:r>
      <w:r w:rsidR="00635C7B" w:rsidRPr="00546E5F">
        <w:rPr>
          <w:i/>
          <w:vertAlign w:val="subscript"/>
          <w:lang w:val="en-AU"/>
        </w:rPr>
        <w:t>earth</w:t>
      </w:r>
      <w:proofErr w:type="spellEnd"/>
      <w:r w:rsidR="004861DC" w:rsidRPr="00CA3FA5">
        <w:rPr>
          <w:lang w:val="en-AU"/>
        </w:rPr>
        <w:t xml:space="preserve"> is the earth radius</w:t>
      </w:r>
      <w:r w:rsidR="00546E5F">
        <w:rPr>
          <w:lang w:val="en-AU"/>
        </w:rPr>
        <w:t>. T</w:t>
      </w:r>
      <w:r w:rsidR="004861DC" w:rsidRPr="00CA3FA5">
        <w:rPr>
          <w:lang w:val="en-AU"/>
        </w:rPr>
        <w:t xml:space="preserve">o take into account refraction an effective earth radius is often used. For standard atmosphere this is usually </w:t>
      </w:r>
      <m:oMath>
        <m:r>
          <w:rPr>
            <w:rFonts w:ascii="Cambria Math" w:hAnsi="Cambria Math"/>
            <w:lang w:val="en-AU"/>
          </w:rPr>
          <m:t>4/3⋅</m:t>
        </m:r>
        <m:sSub>
          <m:sSubPr>
            <m:ctrlPr>
              <w:rPr>
                <w:rFonts w:ascii="Cambria Math" w:hAnsi="Cambria Math"/>
                <w:i/>
                <w:lang w:val="en-AU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R</m:t>
            </m:r>
          </m:e>
          <m:sub>
            <m:r>
              <w:rPr>
                <w:rFonts w:ascii="Cambria Math" w:hAnsi="Cambria Math"/>
                <w:lang w:val="en-AU"/>
              </w:rPr>
              <m:t>earth</m:t>
            </m:r>
          </m:sub>
        </m:sSub>
      </m:oMath>
      <w:r w:rsidR="004861DC" w:rsidRPr="00CA3FA5">
        <w:rPr>
          <w:lang w:val="en-AU"/>
        </w:rPr>
        <w:t xml:space="preserve">, leading to </w:t>
      </w:r>
      <m:oMath>
        <m:sSub>
          <m:sSubPr>
            <m:ctrlPr>
              <w:rPr>
                <w:rFonts w:ascii="Cambria Math" w:hAnsi="Cambria Math"/>
                <w:i/>
                <w:lang w:val="en-AU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d</m:t>
            </m:r>
          </m:e>
          <m:sub>
            <m:r>
              <w:rPr>
                <w:rFonts w:ascii="Cambria Math" w:hAnsi="Cambria Math"/>
                <w:lang w:val="en-AU"/>
              </w:rPr>
              <m:t>hor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r>
              <m:rPr>
                <m:nor/>
              </m:rPr>
              <w:rPr>
                <w:rFonts w:ascii="Cambria Math" w:hAnsi="Cambria Math"/>
                <w:lang w:val="en-AU"/>
              </w:rPr>
              <m:t>km</m:t>
            </m:r>
          </m:e>
        </m:d>
        <m:r>
          <w:rPr>
            <w:rFonts w:ascii="Cambria Math" w:hAnsi="Cambria Math"/>
            <w:lang w:val="en-AU"/>
          </w:rPr>
          <m:t>≈4.12</m:t>
        </m:r>
        <m:rad>
          <m:radPr>
            <m:degHide m:val="1"/>
            <m:ctrlPr>
              <w:rPr>
                <w:rFonts w:ascii="Cambria Math" w:hAnsi="Cambria Math"/>
                <w:i/>
                <w:lang w:val="en-AU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Pr>
              <m:e>
                <m:r>
                  <w:rPr>
                    <w:rFonts w:ascii="Cambria Math" w:hAnsi="Cambria Math"/>
                    <w:lang w:val="en-AU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AU"/>
                  </w:rPr>
                  <m:t>eff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AU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Cambria Math"/>
                    <w:lang w:val="en-AU"/>
                  </w:rPr>
                  <m:t>m</m:t>
                </m:r>
              </m:e>
            </m:d>
          </m:e>
        </m:rad>
      </m:oMath>
      <w:r w:rsidR="00546E5F">
        <w:rPr>
          <w:lang w:val="en-AU"/>
        </w:rPr>
        <w:t xml:space="preserve"> (see Figure 1)</w:t>
      </w:r>
      <w:r w:rsidR="004861DC" w:rsidRPr="00CA3FA5">
        <w:rPr>
          <w:lang w:val="en-AU"/>
        </w:rPr>
        <w:t xml:space="preserve">, however anomalous propagation conditions with non-uniform vertical gradient of the refractive index can lead to </w:t>
      </w:r>
      <w:r w:rsidR="00FC5DB3" w:rsidRPr="00CA3FA5">
        <w:rPr>
          <w:lang w:val="en-AU"/>
        </w:rPr>
        <w:t xml:space="preserve">atmospheric ducting which results </w:t>
      </w:r>
      <w:r w:rsidR="00635C7B">
        <w:rPr>
          <w:lang w:val="en-AU"/>
        </w:rPr>
        <w:t xml:space="preserve">in </w:t>
      </w:r>
      <w:r w:rsidR="00FC5DB3" w:rsidRPr="00CA3FA5">
        <w:rPr>
          <w:lang w:val="en-AU"/>
        </w:rPr>
        <w:t xml:space="preserve">wave guiding </w:t>
      </w:r>
      <w:r w:rsidR="00635C7B">
        <w:rPr>
          <w:lang w:val="en-AU"/>
        </w:rPr>
        <w:t xml:space="preserve">and coverage </w:t>
      </w:r>
      <w:r w:rsidR="00FC5DB3" w:rsidRPr="00CA3FA5">
        <w:rPr>
          <w:lang w:val="en-AU"/>
        </w:rPr>
        <w:t xml:space="preserve">well beyond the </w:t>
      </w:r>
      <w:r w:rsidR="00635C7B">
        <w:rPr>
          <w:lang w:val="en-AU"/>
        </w:rPr>
        <w:t xml:space="preserve">visual </w:t>
      </w:r>
      <w:r w:rsidR="00FC5DB3" w:rsidRPr="00CA3FA5">
        <w:rPr>
          <w:lang w:val="en-AU"/>
        </w:rPr>
        <w:t xml:space="preserve">horizon. </w:t>
      </w:r>
    </w:p>
    <w:p w:rsidR="004861DC" w:rsidRPr="00CA3FA5" w:rsidRDefault="00FC5DB3" w:rsidP="00546E5F">
      <w:pPr>
        <w:pStyle w:val="BodyText"/>
        <w:jc w:val="center"/>
        <w:rPr>
          <w:lang w:val="en-AU"/>
        </w:rPr>
      </w:pPr>
      <w:r w:rsidRPr="00CA3FA5">
        <w:rPr>
          <w:noProof/>
        </w:rPr>
        <w:drawing>
          <wp:inline distT="0" distB="0" distL="0" distR="0" wp14:anchorId="502D7759" wp14:editId="7B487CA0">
            <wp:extent cx="3116911" cy="2337683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17686" cy="23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DB3" w:rsidRPr="00546E5F" w:rsidRDefault="00FC5DB3" w:rsidP="00546E5F">
      <w:pPr>
        <w:pStyle w:val="BodyText"/>
        <w:jc w:val="center"/>
        <w:rPr>
          <w:lang w:val="en-AU"/>
        </w:rPr>
      </w:pPr>
      <w:bookmarkStart w:id="4" w:name="_Ref458693723"/>
      <w:r w:rsidRPr="00546E5F">
        <w:rPr>
          <w:b/>
          <w:sz w:val="18"/>
          <w:lang w:val="en-AU"/>
        </w:rPr>
        <w:t xml:space="preserve">Figure </w:t>
      </w:r>
      <w:r w:rsidRPr="00546E5F">
        <w:rPr>
          <w:b/>
          <w:sz w:val="18"/>
          <w:lang w:val="en-AU"/>
        </w:rPr>
        <w:fldChar w:fldCharType="begin"/>
      </w:r>
      <w:r w:rsidRPr="00546E5F">
        <w:rPr>
          <w:b/>
          <w:sz w:val="18"/>
          <w:lang w:val="en-AU"/>
        </w:rPr>
        <w:instrText xml:space="preserve"> SEQ Figure \* ARABIC </w:instrText>
      </w:r>
      <w:r w:rsidRPr="00546E5F">
        <w:rPr>
          <w:b/>
          <w:sz w:val="18"/>
          <w:lang w:val="en-AU"/>
        </w:rPr>
        <w:fldChar w:fldCharType="separate"/>
      </w:r>
      <w:r w:rsidRPr="00546E5F">
        <w:rPr>
          <w:b/>
          <w:sz w:val="18"/>
          <w:lang w:val="en-AU"/>
        </w:rPr>
        <w:t>1</w:t>
      </w:r>
      <w:r w:rsidRPr="00546E5F">
        <w:rPr>
          <w:b/>
          <w:sz w:val="18"/>
          <w:lang w:val="en-AU"/>
        </w:rPr>
        <w:fldChar w:fldCharType="end"/>
      </w:r>
      <w:bookmarkEnd w:id="4"/>
      <w:r w:rsidRPr="00546E5F">
        <w:rPr>
          <w:b/>
          <w:sz w:val="18"/>
          <w:lang w:val="en-AU"/>
        </w:rPr>
        <w:t xml:space="preserve"> </w:t>
      </w:r>
      <w:r w:rsidR="006175B6" w:rsidRPr="00546E5F">
        <w:rPr>
          <w:b/>
          <w:sz w:val="18"/>
          <w:lang w:val="en-AU"/>
        </w:rPr>
        <w:t>Distance to horizon vs. effective antenna height</w:t>
      </w:r>
    </w:p>
    <w:p w:rsidR="004861DC" w:rsidRPr="00CA3FA5" w:rsidRDefault="006175B6" w:rsidP="008372A0">
      <w:pPr>
        <w:pStyle w:val="BodyText"/>
        <w:rPr>
          <w:lang w:val="en-AU"/>
        </w:rPr>
      </w:pPr>
      <w:r w:rsidRPr="00CA3FA5">
        <w:rPr>
          <w:lang w:val="en-AU"/>
        </w:rPr>
        <w:t xml:space="preserve">The </w:t>
      </w:r>
      <w:r w:rsidR="00635C7B">
        <w:rPr>
          <w:lang w:val="en-AU"/>
        </w:rPr>
        <w:t>radio frequency</w:t>
      </w:r>
      <w:r w:rsidR="00635C7B" w:rsidRPr="00CA3FA5">
        <w:rPr>
          <w:lang w:val="en-AU"/>
        </w:rPr>
        <w:t xml:space="preserve"> </w:t>
      </w:r>
      <w:r w:rsidRPr="00CA3FA5">
        <w:rPr>
          <w:lang w:val="en-AU"/>
        </w:rPr>
        <w:t>path loss will also depend on the path clearance with respect to the terrain along the propagation path. If the first Fresnel zone is unobstructed</w:t>
      </w:r>
      <w:r w:rsidR="00635C7B">
        <w:rPr>
          <w:lang w:val="en-AU"/>
        </w:rPr>
        <w:t>, then</w:t>
      </w:r>
      <w:r w:rsidRPr="00CA3FA5">
        <w:rPr>
          <w:lang w:val="en-AU"/>
        </w:rPr>
        <w:t xml:space="preserve"> the path loss is usually well </w:t>
      </w:r>
      <w:r w:rsidR="00CA3FA5" w:rsidRPr="00CA3FA5">
        <w:rPr>
          <w:lang w:val="en-AU"/>
        </w:rPr>
        <w:t>modelled</w:t>
      </w:r>
      <w:r w:rsidRPr="00CA3FA5">
        <w:rPr>
          <w:lang w:val="en-AU"/>
        </w:rPr>
        <w:t xml:space="preserve"> by the free </w:t>
      </w:r>
      <w:proofErr w:type="gramStart"/>
      <w:r w:rsidRPr="00CA3FA5">
        <w:rPr>
          <w:lang w:val="en-AU"/>
        </w:rPr>
        <w:t>space</w:t>
      </w:r>
      <w:proofErr w:type="gramEnd"/>
      <w:r w:rsidRPr="00CA3FA5">
        <w:rPr>
          <w:lang w:val="en-AU"/>
        </w:rPr>
        <w:t xml:space="preserve"> path loss, whereas Fresnel zone obstructions can lead to additional loss and an increase </w:t>
      </w:r>
      <w:r w:rsidR="00635C7B">
        <w:rPr>
          <w:lang w:val="en-AU"/>
        </w:rPr>
        <w:t xml:space="preserve">the </w:t>
      </w:r>
      <w:r w:rsidRPr="00CA3FA5">
        <w:rPr>
          <w:lang w:val="en-AU"/>
        </w:rPr>
        <w:t xml:space="preserve">path loss slope. </w:t>
      </w:r>
    </w:p>
    <w:p w:rsidR="008372A0" w:rsidRPr="00CA3FA5" w:rsidRDefault="008372A0" w:rsidP="008372A0">
      <w:pPr>
        <w:pStyle w:val="BodyText"/>
        <w:rPr>
          <w:lang w:val="en-AU"/>
        </w:rPr>
      </w:pPr>
      <w:r w:rsidRPr="00CA3FA5">
        <w:rPr>
          <w:lang w:val="en-AU"/>
        </w:rPr>
        <w:t xml:space="preserve">A set of measurements from </w:t>
      </w:r>
      <w:r w:rsidR="00FC4381" w:rsidRPr="00CA3FA5">
        <w:rPr>
          <w:lang w:val="en-AU"/>
        </w:rPr>
        <w:t>27</w:t>
      </w:r>
      <w:r w:rsidRPr="00CA3FA5">
        <w:rPr>
          <w:lang w:val="en-AU"/>
        </w:rPr>
        <w:t xml:space="preserve"> sites </w:t>
      </w:r>
      <w:r w:rsidR="006175B6" w:rsidRPr="00CA3FA5">
        <w:rPr>
          <w:lang w:val="en-AU"/>
        </w:rPr>
        <w:t xml:space="preserve">providing coverage beyond 100 km </w:t>
      </w:r>
      <w:r w:rsidRPr="00CA3FA5">
        <w:rPr>
          <w:lang w:val="en-AU"/>
        </w:rPr>
        <w:t xml:space="preserve">are reported in </w:t>
      </w:r>
      <w:r w:rsidRPr="00CA3FA5">
        <w:rPr>
          <w:lang w:val="en-AU"/>
        </w:rPr>
        <w:fldChar w:fldCharType="begin"/>
      </w:r>
      <w:r w:rsidRPr="00CA3FA5">
        <w:rPr>
          <w:lang w:val="en-AU"/>
        </w:rPr>
        <w:instrText xml:space="preserve"> REF _Ref454287040 \r \h </w:instrText>
      </w:r>
      <w:r w:rsidRPr="00CA3FA5">
        <w:rPr>
          <w:lang w:val="en-AU"/>
        </w:rPr>
      </w:r>
      <w:r w:rsidRPr="00CA3FA5">
        <w:rPr>
          <w:lang w:val="en-AU"/>
        </w:rPr>
        <w:fldChar w:fldCharType="separate"/>
      </w:r>
      <w:r w:rsidRPr="00CA3FA5">
        <w:rPr>
          <w:lang w:val="en-AU"/>
        </w:rPr>
        <w:t>[1]</w:t>
      </w:r>
      <w:r w:rsidRPr="00CA3FA5">
        <w:rPr>
          <w:lang w:val="en-AU"/>
        </w:rPr>
        <w:fldChar w:fldCharType="end"/>
      </w:r>
      <w:r w:rsidRPr="00CA3FA5">
        <w:rPr>
          <w:lang w:val="en-AU"/>
        </w:rPr>
        <w:t xml:space="preserve">. </w:t>
      </w:r>
      <w:r w:rsidR="006175B6" w:rsidRPr="00CA3FA5">
        <w:rPr>
          <w:lang w:val="en-AU"/>
        </w:rPr>
        <w:t>It should be observed that the measurements are based on UEs that are able to connect to the sites. As the distance increases the number of such users go</w:t>
      </w:r>
      <w:r w:rsidR="00C02DC7" w:rsidRPr="00CA3FA5">
        <w:rPr>
          <w:lang w:val="en-AU"/>
        </w:rPr>
        <w:t>es</w:t>
      </w:r>
      <w:r w:rsidR="006175B6" w:rsidRPr="00CA3FA5">
        <w:rPr>
          <w:lang w:val="en-AU"/>
        </w:rPr>
        <w:t xml:space="preserve"> down. </w:t>
      </w:r>
      <w:r w:rsidR="00C02DC7" w:rsidRPr="00CA3FA5">
        <w:rPr>
          <w:lang w:val="en-AU"/>
        </w:rPr>
        <w:t xml:space="preserve">This can have two explanations, either that the user density becomes lower or that the fraction of users that experience sufficiently </w:t>
      </w:r>
      <w:r w:rsidR="00CA3FA5" w:rsidRPr="00CA3FA5">
        <w:rPr>
          <w:lang w:val="en-AU"/>
        </w:rPr>
        <w:t>favourable</w:t>
      </w:r>
      <w:r w:rsidR="00C02DC7" w:rsidRPr="00CA3FA5">
        <w:rPr>
          <w:lang w:val="en-AU"/>
        </w:rPr>
        <w:t xml:space="preserve"> conditions through e.g. shadow fading </w:t>
      </w:r>
      <w:r w:rsidR="001268B9">
        <w:rPr>
          <w:lang w:val="en-AU"/>
        </w:rPr>
        <w:t xml:space="preserve">or atmospheric ducting </w:t>
      </w:r>
      <w:r w:rsidR="00C02DC7" w:rsidRPr="00CA3FA5">
        <w:rPr>
          <w:lang w:val="en-AU"/>
        </w:rPr>
        <w:t xml:space="preserve">becomes smaller. </w:t>
      </w:r>
    </w:p>
    <w:p w:rsidR="00FC4381" w:rsidRPr="00CA3FA5" w:rsidRDefault="00FC4381" w:rsidP="008372A0">
      <w:pPr>
        <w:pStyle w:val="BodyText"/>
        <w:rPr>
          <w:lang w:val="en-AU"/>
        </w:rPr>
      </w:pPr>
      <w:r w:rsidRPr="00CA3FA5">
        <w:rPr>
          <w:lang w:val="en-AU"/>
        </w:rPr>
        <w:t>Analysis of the 360 000 measurement samples report</w:t>
      </w:r>
      <w:r w:rsidR="00DF2DD3" w:rsidRPr="00CA3FA5">
        <w:rPr>
          <w:lang w:val="en-AU"/>
        </w:rPr>
        <w:t>ed</w:t>
      </w:r>
      <w:r w:rsidRPr="00CA3FA5">
        <w:rPr>
          <w:lang w:val="en-AU"/>
        </w:rPr>
        <w:t xml:space="preserve"> in </w:t>
      </w:r>
      <w:r w:rsidR="00DF2DD3" w:rsidRPr="00CA3FA5">
        <w:rPr>
          <w:lang w:val="en-AU"/>
        </w:rPr>
        <w:fldChar w:fldCharType="begin"/>
      </w:r>
      <w:r w:rsidR="00DF2DD3" w:rsidRPr="00CA3FA5">
        <w:rPr>
          <w:lang w:val="en-AU"/>
        </w:rPr>
        <w:instrText xml:space="preserve"> REF _Ref454287040 \r \h </w:instrText>
      </w:r>
      <w:r w:rsidR="00DF2DD3" w:rsidRPr="00CA3FA5">
        <w:rPr>
          <w:lang w:val="en-AU"/>
        </w:rPr>
      </w:r>
      <w:r w:rsidR="00DF2DD3" w:rsidRPr="00CA3FA5">
        <w:rPr>
          <w:lang w:val="en-AU"/>
        </w:rPr>
        <w:fldChar w:fldCharType="separate"/>
      </w:r>
      <w:r w:rsidR="00DF2DD3" w:rsidRPr="00CA3FA5">
        <w:rPr>
          <w:lang w:val="en-AU"/>
        </w:rPr>
        <w:t>[1]</w:t>
      </w:r>
      <w:r w:rsidR="00DF2DD3" w:rsidRPr="00CA3FA5">
        <w:rPr>
          <w:lang w:val="en-AU"/>
        </w:rPr>
        <w:fldChar w:fldCharType="end"/>
      </w:r>
      <w:r w:rsidRPr="00CA3FA5">
        <w:rPr>
          <w:lang w:val="en-AU"/>
        </w:rPr>
        <w:t xml:space="preserve"> indicate a good agreement with a simple free</w:t>
      </w:r>
      <w:r w:rsidR="00635C7B">
        <w:rPr>
          <w:lang w:val="en-AU"/>
        </w:rPr>
        <w:t xml:space="preserve"> </w:t>
      </w:r>
      <w:r w:rsidRPr="00CA3FA5">
        <w:rPr>
          <w:lang w:val="en-AU"/>
        </w:rPr>
        <w:t>space path</w:t>
      </w:r>
      <w:r w:rsidR="00635C7B">
        <w:rPr>
          <w:lang w:val="en-AU"/>
        </w:rPr>
        <w:t xml:space="preserve"> </w:t>
      </w:r>
      <w:r w:rsidRPr="00CA3FA5">
        <w:rPr>
          <w:lang w:val="en-AU"/>
        </w:rPr>
        <w:t xml:space="preserve">loss model </w:t>
      </w:r>
      <w:r w:rsidR="00635C7B">
        <w:rPr>
          <w:lang w:val="en-AU"/>
        </w:rPr>
        <w:t>to</w:t>
      </w:r>
      <w:r w:rsidR="00635C7B" w:rsidRPr="00CA3FA5">
        <w:rPr>
          <w:lang w:val="en-AU"/>
        </w:rPr>
        <w:t xml:space="preserve"> </w:t>
      </w:r>
      <w:r w:rsidRPr="00CA3FA5">
        <w:rPr>
          <w:lang w:val="en-AU"/>
        </w:rPr>
        <w:t xml:space="preserve">which an additional 20 dB clutter loss has been applied. This proposed </w:t>
      </w:r>
      <w:proofErr w:type="spellStart"/>
      <w:r w:rsidRPr="00CA3FA5">
        <w:rPr>
          <w:lang w:val="en-AU"/>
        </w:rPr>
        <w:t>pathloss</w:t>
      </w:r>
      <w:proofErr w:type="spellEnd"/>
      <w:r w:rsidRPr="00CA3FA5">
        <w:rPr>
          <w:lang w:val="en-AU"/>
        </w:rPr>
        <w:t xml:space="preserve"> model </w:t>
      </w:r>
      <w:r w:rsidR="00635C7B">
        <w:rPr>
          <w:lang w:val="en-AU"/>
        </w:rPr>
        <w:t>can</w:t>
      </w:r>
      <w:r w:rsidR="00635C7B" w:rsidRPr="00CA3FA5">
        <w:rPr>
          <w:lang w:val="en-AU"/>
        </w:rPr>
        <w:t xml:space="preserve"> </w:t>
      </w:r>
      <w:r w:rsidRPr="00CA3FA5">
        <w:rPr>
          <w:lang w:val="en-AU"/>
        </w:rPr>
        <w:t>be seen in</w:t>
      </w:r>
      <w:r w:rsidR="00DF2DD3" w:rsidRPr="00CA3FA5">
        <w:rPr>
          <w:lang w:val="en-AU"/>
        </w:rPr>
        <w:t xml:space="preserve"> </w:t>
      </w:r>
      <w:r w:rsidR="00DF2DD3" w:rsidRPr="00CA3FA5">
        <w:rPr>
          <w:lang w:val="en-AU"/>
        </w:rPr>
        <w:fldChar w:fldCharType="begin"/>
      </w:r>
      <w:r w:rsidR="00DF2DD3" w:rsidRPr="00CA3FA5">
        <w:rPr>
          <w:lang w:val="en-AU"/>
        </w:rPr>
        <w:instrText xml:space="preserve"> REF _Ref454375500 \h </w:instrText>
      </w:r>
      <w:r w:rsidR="00DF2DD3" w:rsidRPr="00CA3FA5">
        <w:rPr>
          <w:lang w:val="en-AU"/>
        </w:rPr>
      </w:r>
      <w:r w:rsidR="00DF2DD3" w:rsidRPr="00CA3FA5">
        <w:rPr>
          <w:lang w:val="en-AU"/>
        </w:rPr>
        <w:fldChar w:fldCharType="separate"/>
      </w:r>
      <w:r w:rsidR="00DF2DD3" w:rsidRPr="00CA3FA5">
        <w:rPr>
          <w:lang w:val="en-AU"/>
        </w:rPr>
        <w:t>Figure 2</w:t>
      </w:r>
      <w:r w:rsidR="00DF2DD3" w:rsidRPr="00CA3FA5">
        <w:rPr>
          <w:lang w:val="en-AU"/>
        </w:rPr>
        <w:fldChar w:fldCharType="end"/>
      </w:r>
      <w:r w:rsidRPr="00CA3FA5">
        <w:rPr>
          <w:lang w:val="en-AU"/>
        </w:rPr>
        <w:t>. The standard deviation of samples from this model was found to be 7.7 dB.</w:t>
      </w:r>
    </w:p>
    <w:p w:rsidR="00CD62A9" w:rsidRPr="00CA3FA5" w:rsidRDefault="000C0150" w:rsidP="008372A0">
      <w:pPr>
        <w:pStyle w:val="BodyText"/>
        <w:rPr>
          <w:lang w:val="en-AU"/>
        </w:rPr>
      </w:pPr>
      <w:r w:rsidRPr="00CA3FA5">
        <w:rPr>
          <w:noProof/>
        </w:rPr>
        <w:lastRenderedPageBreak/>
        <w:drawing>
          <wp:inline distT="0" distB="0" distL="0" distR="0" wp14:anchorId="5C0794EF" wp14:editId="29E96C58">
            <wp:extent cx="5742940" cy="4334510"/>
            <wp:effectExtent l="0" t="0" r="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433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2DD3" w:rsidRPr="00546E5F" w:rsidRDefault="00DF2DD3" w:rsidP="00546E5F">
      <w:pPr>
        <w:pStyle w:val="BodyText"/>
        <w:jc w:val="center"/>
        <w:rPr>
          <w:lang w:val="en-AU"/>
        </w:rPr>
      </w:pPr>
      <w:bookmarkStart w:id="5" w:name="_Ref454375500"/>
      <w:bookmarkStart w:id="6" w:name="_Ref454375484"/>
      <w:r w:rsidRPr="00546E5F">
        <w:rPr>
          <w:b/>
          <w:sz w:val="18"/>
          <w:lang w:val="en-AU"/>
        </w:rPr>
        <w:t xml:space="preserve">Figure </w:t>
      </w:r>
      <w:r w:rsidRPr="00546E5F">
        <w:rPr>
          <w:b/>
          <w:sz w:val="18"/>
          <w:lang w:val="en-AU"/>
        </w:rPr>
        <w:fldChar w:fldCharType="begin"/>
      </w:r>
      <w:r w:rsidRPr="00546E5F">
        <w:rPr>
          <w:b/>
          <w:sz w:val="18"/>
          <w:lang w:val="en-AU"/>
        </w:rPr>
        <w:instrText xml:space="preserve"> SEQ Figure \* ARABIC </w:instrText>
      </w:r>
      <w:r w:rsidRPr="00546E5F">
        <w:rPr>
          <w:b/>
          <w:sz w:val="18"/>
          <w:lang w:val="en-AU"/>
        </w:rPr>
        <w:fldChar w:fldCharType="separate"/>
      </w:r>
      <w:r w:rsidR="00165E8B" w:rsidRPr="00546E5F">
        <w:rPr>
          <w:b/>
          <w:sz w:val="18"/>
          <w:lang w:val="en-AU"/>
        </w:rPr>
        <w:t>2</w:t>
      </w:r>
      <w:r w:rsidRPr="00546E5F">
        <w:rPr>
          <w:b/>
          <w:sz w:val="18"/>
          <w:lang w:val="en-AU"/>
        </w:rPr>
        <w:fldChar w:fldCharType="end"/>
      </w:r>
      <w:bookmarkEnd w:id="5"/>
      <w:r w:rsidRPr="00546E5F">
        <w:rPr>
          <w:b/>
          <w:sz w:val="18"/>
          <w:lang w:val="en-AU"/>
        </w:rPr>
        <w:t xml:space="preserve"> </w:t>
      </w:r>
      <w:bookmarkEnd w:id="6"/>
      <w:r w:rsidR="00AF0E06" w:rsidRPr="00546E5F">
        <w:rPr>
          <w:b/>
          <w:sz w:val="18"/>
          <w:lang w:val="en-AU"/>
        </w:rPr>
        <w:t xml:space="preserve">Proposed extreme rural </w:t>
      </w:r>
      <w:proofErr w:type="spellStart"/>
      <w:r w:rsidR="00AF0E06" w:rsidRPr="00546E5F">
        <w:rPr>
          <w:b/>
          <w:sz w:val="18"/>
          <w:lang w:val="en-AU"/>
        </w:rPr>
        <w:t>pathloss</w:t>
      </w:r>
      <w:proofErr w:type="spellEnd"/>
      <w:r w:rsidR="00AF0E06" w:rsidRPr="00546E5F">
        <w:rPr>
          <w:b/>
          <w:sz w:val="18"/>
          <w:lang w:val="en-AU"/>
        </w:rPr>
        <w:t xml:space="preserve"> model </w:t>
      </w:r>
      <w:r w:rsidR="00635C7B" w:rsidRPr="00546E5F">
        <w:rPr>
          <w:b/>
          <w:sz w:val="18"/>
          <w:lang w:val="en-AU"/>
        </w:rPr>
        <w:t xml:space="preserve">and the </w:t>
      </w:r>
      <w:r w:rsidR="00AF0E06" w:rsidRPr="00546E5F">
        <w:rPr>
          <w:b/>
          <w:sz w:val="18"/>
          <w:lang w:val="en-AU"/>
        </w:rPr>
        <w:t>fit with measurement data</w:t>
      </w:r>
    </w:p>
    <w:p w:rsidR="00635C7B" w:rsidRDefault="00635C7B" w:rsidP="008372A0">
      <w:pPr>
        <w:pStyle w:val="BodyText"/>
        <w:rPr>
          <w:b/>
          <w:lang w:val="en-AU"/>
        </w:rPr>
      </w:pPr>
    </w:p>
    <w:p w:rsidR="00635C7B" w:rsidRPr="00546E5F" w:rsidRDefault="00635C7B" w:rsidP="008372A0">
      <w:pPr>
        <w:pStyle w:val="BodyText"/>
        <w:rPr>
          <w:lang w:val="en-AU"/>
        </w:rPr>
      </w:pPr>
      <w:r w:rsidRPr="00546E5F">
        <w:rPr>
          <w:lang w:val="en-AU"/>
        </w:rPr>
        <w:t>Hence, we make the following path loss model proposal:</w:t>
      </w:r>
    </w:p>
    <w:p w:rsidR="00C02DC7" w:rsidRPr="00CA3FA5" w:rsidRDefault="00C02DC7" w:rsidP="008372A0">
      <w:pPr>
        <w:pStyle w:val="BodyText"/>
        <w:rPr>
          <w:b/>
          <w:lang w:val="en-AU"/>
        </w:rPr>
      </w:pPr>
      <w:r w:rsidRPr="00CA3FA5">
        <w:rPr>
          <w:b/>
          <w:lang w:val="en-AU"/>
        </w:rPr>
        <w:t xml:space="preserve">Proposal 1: For the extreme rural scenario, use </w:t>
      </w:r>
      <w:r w:rsidR="00635C7B">
        <w:rPr>
          <w:b/>
          <w:lang w:val="en-AU"/>
        </w:rPr>
        <w:t xml:space="preserve">the </w:t>
      </w:r>
      <w:r w:rsidRPr="00CA3FA5">
        <w:rPr>
          <w:b/>
          <w:lang w:val="en-AU"/>
        </w:rPr>
        <w:t xml:space="preserve">free space path loss + 20 dB clutter loss with a shadow fading standard deviation of </w:t>
      </w:r>
      <w:r w:rsidR="00DF2DD3" w:rsidRPr="00CA3FA5">
        <w:rPr>
          <w:b/>
          <w:lang w:val="en-AU"/>
        </w:rPr>
        <w:t>8</w:t>
      </w:r>
      <w:r w:rsidRPr="00CA3FA5">
        <w:rPr>
          <w:b/>
          <w:lang w:val="en-AU"/>
        </w:rPr>
        <w:t xml:space="preserve"> dB. </w:t>
      </w:r>
    </w:p>
    <w:p w:rsidR="00C02DC7" w:rsidRPr="00CA3FA5" w:rsidRDefault="00C02DC7" w:rsidP="00C02DC7">
      <w:pPr>
        <w:pStyle w:val="BodyText"/>
        <w:numPr>
          <w:ilvl w:val="0"/>
          <w:numId w:val="10"/>
        </w:numPr>
        <w:rPr>
          <w:lang w:val="en-AU"/>
        </w:rPr>
      </w:pPr>
      <w:r w:rsidRPr="00CA3FA5">
        <w:rPr>
          <w:b/>
          <w:lang w:val="en-AU"/>
        </w:rPr>
        <w:t xml:space="preserve">Note: This path loss model is not representative for area coverage but replicates measurement data for </w:t>
      </w:r>
      <w:r w:rsidR="001C1220">
        <w:rPr>
          <w:b/>
          <w:lang w:val="en-AU"/>
        </w:rPr>
        <w:t xml:space="preserve">those </w:t>
      </w:r>
      <w:r w:rsidRPr="00CA3FA5">
        <w:rPr>
          <w:b/>
          <w:lang w:val="en-AU"/>
        </w:rPr>
        <w:t xml:space="preserve">users </w:t>
      </w:r>
      <w:r w:rsidR="001C1220">
        <w:rPr>
          <w:b/>
          <w:lang w:val="en-AU"/>
        </w:rPr>
        <w:t xml:space="preserve">that </w:t>
      </w:r>
      <w:r w:rsidRPr="00CA3FA5">
        <w:rPr>
          <w:b/>
          <w:lang w:val="en-AU"/>
        </w:rPr>
        <w:t>able to connect to an extreme rural site</w:t>
      </w:r>
      <w:r w:rsidR="001C1220">
        <w:rPr>
          <w:b/>
          <w:lang w:val="en-AU"/>
        </w:rPr>
        <w:t xml:space="preserve"> through favourable propagation conditions</w:t>
      </w:r>
    </w:p>
    <w:p w:rsidR="00FE5799" w:rsidRPr="00944906" w:rsidRDefault="00FE5799" w:rsidP="00FE5799">
      <w:pPr>
        <w:pStyle w:val="Heading1"/>
        <w:rPr>
          <w:lang w:val="en-AU"/>
        </w:rPr>
      </w:pPr>
      <w:r w:rsidRPr="00944906">
        <w:rPr>
          <w:lang w:val="en-AU"/>
        </w:rPr>
        <w:t>Conclusion</w:t>
      </w:r>
    </w:p>
    <w:p w:rsidR="00F062F2" w:rsidRPr="00944906" w:rsidRDefault="00DF7DD5" w:rsidP="00F062F2">
      <w:pPr>
        <w:pStyle w:val="BodyText"/>
        <w:rPr>
          <w:lang w:val="en-AU"/>
        </w:rPr>
      </w:pPr>
      <w:r w:rsidRPr="00944906">
        <w:rPr>
          <w:lang w:val="en-AU"/>
        </w:rPr>
        <w:t>T</w:t>
      </w:r>
      <w:r w:rsidR="001C1220">
        <w:rPr>
          <w:lang w:val="en-AU"/>
        </w:rPr>
        <w:t>he following proposal is</w:t>
      </w:r>
      <w:r w:rsidR="00F062F2" w:rsidRPr="00944906">
        <w:rPr>
          <w:lang w:val="en-AU"/>
        </w:rPr>
        <w:t xml:space="preserve"> made:</w:t>
      </w:r>
    </w:p>
    <w:p w:rsidR="001C1220" w:rsidRPr="00CA3FA5" w:rsidRDefault="001C1220" w:rsidP="001C1220">
      <w:pPr>
        <w:pStyle w:val="BodyText"/>
        <w:rPr>
          <w:b/>
          <w:lang w:val="en-AU"/>
        </w:rPr>
      </w:pPr>
      <w:r w:rsidRPr="00CA3FA5">
        <w:rPr>
          <w:b/>
          <w:lang w:val="en-AU"/>
        </w:rPr>
        <w:t xml:space="preserve">Proposal 1: For the extreme rural scenario, use </w:t>
      </w:r>
      <w:r>
        <w:rPr>
          <w:b/>
          <w:lang w:val="en-AU"/>
        </w:rPr>
        <w:t xml:space="preserve">the </w:t>
      </w:r>
      <w:r w:rsidRPr="00CA3FA5">
        <w:rPr>
          <w:b/>
          <w:lang w:val="en-AU"/>
        </w:rPr>
        <w:t xml:space="preserve">free space path loss + 20 dB clutter loss with a shadow fading standard deviation of 8 dB. </w:t>
      </w:r>
    </w:p>
    <w:p w:rsidR="001C1220" w:rsidRPr="00CA3FA5" w:rsidRDefault="001C1220" w:rsidP="001C1220">
      <w:pPr>
        <w:pStyle w:val="BodyText"/>
        <w:numPr>
          <w:ilvl w:val="0"/>
          <w:numId w:val="10"/>
        </w:numPr>
        <w:rPr>
          <w:lang w:val="en-AU"/>
        </w:rPr>
      </w:pPr>
      <w:r w:rsidRPr="00CA3FA5">
        <w:rPr>
          <w:b/>
          <w:lang w:val="en-AU"/>
        </w:rPr>
        <w:t xml:space="preserve">Note: This path loss model is not representative for area coverage but replicates measurement data for </w:t>
      </w:r>
      <w:r>
        <w:rPr>
          <w:b/>
          <w:lang w:val="en-AU"/>
        </w:rPr>
        <w:t xml:space="preserve">those </w:t>
      </w:r>
      <w:r w:rsidRPr="00CA3FA5">
        <w:rPr>
          <w:b/>
          <w:lang w:val="en-AU"/>
        </w:rPr>
        <w:t xml:space="preserve">users </w:t>
      </w:r>
      <w:r>
        <w:rPr>
          <w:b/>
          <w:lang w:val="en-AU"/>
        </w:rPr>
        <w:t xml:space="preserve">that </w:t>
      </w:r>
      <w:r w:rsidRPr="00CA3FA5">
        <w:rPr>
          <w:b/>
          <w:lang w:val="en-AU"/>
        </w:rPr>
        <w:t>able to connect to an extreme rural site</w:t>
      </w:r>
      <w:r>
        <w:rPr>
          <w:b/>
          <w:lang w:val="en-AU"/>
        </w:rPr>
        <w:t xml:space="preserve"> through favourable propagation conditions</w:t>
      </w:r>
    </w:p>
    <w:p w:rsidR="008372A0" w:rsidRPr="00944906" w:rsidRDefault="008372A0" w:rsidP="00F062F2">
      <w:pPr>
        <w:pStyle w:val="BodyText"/>
        <w:rPr>
          <w:lang w:val="en-AU"/>
        </w:rPr>
      </w:pPr>
    </w:p>
    <w:p w:rsidR="008372A0" w:rsidRPr="00944906" w:rsidRDefault="008372A0" w:rsidP="008372A0">
      <w:pPr>
        <w:pStyle w:val="Heading1"/>
        <w:rPr>
          <w:lang w:val="en-AU"/>
        </w:rPr>
      </w:pPr>
      <w:r w:rsidRPr="00944906">
        <w:rPr>
          <w:lang w:val="en-AU"/>
        </w:rPr>
        <w:t>References</w:t>
      </w:r>
    </w:p>
    <w:p w:rsidR="001C1220" w:rsidRPr="001C1220" w:rsidRDefault="008372A0" w:rsidP="001C1220">
      <w:pPr>
        <w:numPr>
          <w:ilvl w:val="0"/>
          <w:numId w:val="2"/>
        </w:numPr>
        <w:jc w:val="both"/>
        <w:rPr>
          <w:szCs w:val="20"/>
          <w:lang w:val="en-AU"/>
        </w:rPr>
      </w:pPr>
      <w:bookmarkStart w:id="7" w:name="_Ref450935028"/>
      <w:bookmarkStart w:id="8" w:name="_Ref454287040"/>
      <w:r w:rsidRPr="00944906">
        <w:rPr>
          <w:szCs w:val="20"/>
          <w:lang w:val="en-AU"/>
        </w:rPr>
        <w:t>R1-16</w:t>
      </w:r>
      <w:r w:rsidR="00546E5F">
        <w:rPr>
          <w:szCs w:val="20"/>
          <w:lang w:val="en-AU"/>
        </w:rPr>
        <w:t>6559</w:t>
      </w:r>
      <w:r w:rsidRPr="00944906">
        <w:rPr>
          <w:szCs w:val="20"/>
          <w:lang w:val="en-AU"/>
        </w:rPr>
        <w:t>, “</w:t>
      </w:r>
      <w:r w:rsidR="001C1220">
        <w:rPr>
          <w:szCs w:val="20"/>
          <w:lang w:val="en-AU"/>
        </w:rPr>
        <w:t>Measurements of</w:t>
      </w:r>
      <w:r w:rsidR="00546E5F" w:rsidRPr="00546E5F">
        <w:rPr>
          <w:szCs w:val="20"/>
          <w:lang w:val="en-AU"/>
        </w:rPr>
        <w:t xml:space="preserve"> extreme rural scenarios</w:t>
      </w:r>
      <w:r w:rsidRPr="00944906">
        <w:rPr>
          <w:szCs w:val="20"/>
          <w:lang w:val="en-AU"/>
        </w:rPr>
        <w:t>”, Telstra</w:t>
      </w:r>
      <w:r w:rsidR="00546E5F">
        <w:rPr>
          <w:szCs w:val="20"/>
          <w:lang w:val="en-AU"/>
        </w:rPr>
        <w:t>, Ericsson</w:t>
      </w:r>
      <w:r w:rsidRPr="00944906">
        <w:rPr>
          <w:szCs w:val="20"/>
          <w:lang w:val="en-AU"/>
        </w:rPr>
        <w:t xml:space="preserve">, </w:t>
      </w:r>
      <w:proofErr w:type="spellStart"/>
      <w:r w:rsidRPr="00944906">
        <w:rPr>
          <w:szCs w:val="20"/>
          <w:lang w:val="en-AU"/>
        </w:rPr>
        <w:t>Göteborg</w:t>
      </w:r>
      <w:proofErr w:type="spellEnd"/>
      <w:r w:rsidRPr="00944906">
        <w:rPr>
          <w:szCs w:val="20"/>
          <w:lang w:val="en-AU"/>
        </w:rPr>
        <w:t>, Sweden, 22-26 Aug 2016</w:t>
      </w:r>
      <w:bookmarkEnd w:id="7"/>
      <w:r w:rsidRPr="00944906">
        <w:rPr>
          <w:szCs w:val="20"/>
          <w:lang w:val="en-AU"/>
        </w:rPr>
        <w:t>.</w:t>
      </w:r>
      <w:bookmarkEnd w:id="8"/>
    </w:p>
    <w:sectPr w:rsidR="001C1220" w:rsidRPr="001C12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8DC" w:rsidRDefault="000528DC">
      <w:r>
        <w:separator/>
      </w:r>
    </w:p>
  </w:endnote>
  <w:endnote w:type="continuationSeparator" w:id="0">
    <w:p w:rsidR="000528DC" w:rsidRDefault="0005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8DC" w:rsidRDefault="000528DC">
      <w:r>
        <w:separator/>
      </w:r>
    </w:p>
  </w:footnote>
  <w:footnote w:type="continuationSeparator" w:id="0">
    <w:p w:rsidR="000528DC" w:rsidRDefault="000528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0528DC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F36D960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38"/>
        </w:tabs>
        <w:ind w:left="3289" w:hanging="1304"/>
      </w:pPr>
      <w:rPr>
        <w:strike w:val="0"/>
        <w:dstrike w:val="0"/>
        <w:u w:val="none"/>
        <w:effect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3"/>
        </w:tabs>
        <w:ind w:left="2564" w:hanging="1304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3C142EA"/>
    <w:multiLevelType w:val="hybridMultilevel"/>
    <w:tmpl w:val="BCD6D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046F2"/>
    <w:multiLevelType w:val="hybridMultilevel"/>
    <w:tmpl w:val="E696A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CE82E97"/>
    <w:multiLevelType w:val="hybridMultilevel"/>
    <w:tmpl w:val="C122BAC2"/>
    <w:lvl w:ilvl="0" w:tplc="71F0A20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E5480"/>
    <w:multiLevelType w:val="hybridMultilevel"/>
    <w:tmpl w:val="D21E6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183FD7"/>
    <w:multiLevelType w:val="hybridMultilevel"/>
    <w:tmpl w:val="91CA7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3F18B9"/>
    <w:multiLevelType w:val="hybridMultilevel"/>
    <w:tmpl w:val="DCC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5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2E81"/>
    <w:rsid w:val="000528DC"/>
    <w:rsid w:val="00067D24"/>
    <w:rsid w:val="000C0150"/>
    <w:rsid w:val="000D4803"/>
    <w:rsid w:val="000E06BA"/>
    <w:rsid w:val="000E0F1D"/>
    <w:rsid w:val="001155C4"/>
    <w:rsid w:val="001268B9"/>
    <w:rsid w:val="001639B5"/>
    <w:rsid w:val="00165E8B"/>
    <w:rsid w:val="001678D1"/>
    <w:rsid w:val="001A7DF3"/>
    <w:rsid w:val="001C1220"/>
    <w:rsid w:val="001D0503"/>
    <w:rsid w:val="0022115C"/>
    <w:rsid w:val="0026076E"/>
    <w:rsid w:val="00282060"/>
    <w:rsid w:val="00297704"/>
    <w:rsid w:val="002B5B6F"/>
    <w:rsid w:val="002C1A1F"/>
    <w:rsid w:val="00334092"/>
    <w:rsid w:val="00344A30"/>
    <w:rsid w:val="00391A0B"/>
    <w:rsid w:val="003D5908"/>
    <w:rsid w:val="004823F8"/>
    <w:rsid w:val="004861DC"/>
    <w:rsid w:val="004A3F44"/>
    <w:rsid w:val="004E0AB2"/>
    <w:rsid w:val="00546E5F"/>
    <w:rsid w:val="005B038C"/>
    <w:rsid w:val="005D2E19"/>
    <w:rsid w:val="005F758E"/>
    <w:rsid w:val="006175B6"/>
    <w:rsid w:val="00635C7B"/>
    <w:rsid w:val="00645707"/>
    <w:rsid w:val="006A286A"/>
    <w:rsid w:val="007B3530"/>
    <w:rsid w:val="007F344B"/>
    <w:rsid w:val="00835DE6"/>
    <w:rsid w:val="008372A0"/>
    <w:rsid w:val="008462A4"/>
    <w:rsid w:val="008667D8"/>
    <w:rsid w:val="0087287C"/>
    <w:rsid w:val="00872E9C"/>
    <w:rsid w:val="008E2BE3"/>
    <w:rsid w:val="00944906"/>
    <w:rsid w:val="00947C8B"/>
    <w:rsid w:val="00970C66"/>
    <w:rsid w:val="009960A5"/>
    <w:rsid w:val="00A25086"/>
    <w:rsid w:val="00A44477"/>
    <w:rsid w:val="00A4561A"/>
    <w:rsid w:val="00A478F2"/>
    <w:rsid w:val="00A55C73"/>
    <w:rsid w:val="00A71D5E"/>
    <w:rsid w:val="00AA2A8F"/>
    <w:rsid w:val="00AA5058"/>
    <w:rsid w:val="00AF0E06"/>
    <w:rsid w:val="00B21130"/>
    <w:rsid w:val="00B368D9"/>
    <w:rsid w:val="00B97E94"/>
    <w:rsid w:val="00BA14A0"/>
    <w:rsid w:val="00BC5411"/>
    <w:rsid w:val="00C02DC7"/>
    <w:rsid w:val="00C1560A"/>
    <w:rsid w:val="00C82C6E"/>
    <w:rsid w:val="00C854D4"/>
    <w:rsid w:val="00CA3FA5"/>
    <w:rsid w:val="00CD62A9"/>
    <w:rsid w:val="00D539B8"/>
    <w:rsid w:val="00D71C26"/>
    <w:rsid w:val="00DA4DEF"/>
    <w:rsid w:val="00DC5065"/>
    <w:rsid w:val="00DC713F"/>
    <w:rsid w:val="00DD0C9E"/>
    <w:rsid w:val="00DE6326"/>
    <w:rsid w:val="00DF03D2"/>
    <w:rsid w:val="00DF2DD3"/>
    <w:rsid w:val="00DF7DD5"/>
    <w:rsid w:val="00E66190"/>
    <w:rsid w:val="00E747B0"/>
    <w:rsid w:val="00E82089"/>
    <w:rsid w:val="00E87A7B"/>
    <w:rsid w:val="00EE617F"/>
    <w:rsid w:val="00EF36D7"/>
    <w:rsid w:val="00F002CD"/>
    <w:rsid w:val="00F062F2"/>
    <w:rsid w:val="00F307F4"/>
    <w:rsid w:val="00F61907"/>
    <w:rsid w:val="00F64E0F"/>
    <w:rsid w:val="00FC4381"/>
    <w:rsid w:val="00FC5DB3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062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2F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2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0E06BA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FC5DB3"/>
    <w:pPr>
      <w:spacing w:after="200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835DE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062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2F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2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0E06BA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FC5DB3"/>
    <w:pPr>
      <w:spacing w:after="200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835DE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CA502-948C-4347-9DE8-25694E94F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2016-08-02T11:16:00Z</dcterms:created>
  <dcterms:modified xsi:type="dcterms:W3CDTF">2016-08-12T14:26:00Z</dcterms:modified>
</cp:coreProperties>
</file>